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563A32" w:rsidTr="00563A32">
        <w:trPr>
          <w:trHeight w:val="836"/>
        </w:trPr>
        <w:tc>
          <w:tcPr>
            <w:tcW w:w="4489" w:type="dxa"/>
          </w:tcPr>
          <w:p w:rsidR="00563A32" w:rsidRPr="00350C76" w:rsidRDefault="00563A32">
            <w:pPr>
              <w:rPr>
                <w:sz w:val="28"/>
                <w:szCs w:val="28"/>
              </w:rPr>
            </w:pPr>
          </w:p>
          <w:p w:rsidR="00563A32" w:rsidRPr="00350C76" w:rsidRDefault="00563A32" w:rsidP="00563A32">
            <w:pPr>
              <w:shd w:val="clear" w:color="auto" w:fill="FFFFFF"/>
              <w:spacing w:before="204" w:after="204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444444"/>
                <w:sz w:val="28"/>
                <w:szCs w:val="28"/>
                <w:lang w:eastAsia="es-MX"/>
              </w:rPr>
            </w:pPr>
            <w:r w:rsidRPr="00350C76">
              <w:rPr>
                <w:rFonts w:ascii="Arial" w:eastAsia="Times New Roman" w:hAnsi="Arial" w:cs="Arial"/>
                <w:b/>
                <w:bCs/>
                <w:color w:val="444444"/>
                <w:sz w:val="28"/>
                <w:szCs w:val="28"/>
                <w:lang w:eastAsia="es-MX"/>
              </w:rPr>
              <w:t>Normas Oficiales Mexicanas (NOM)</w:t>
            </w:r>
          </w:p>
          <w:p w:rsidR="00563A32" w:rsidRPr="00563A32" w:rsidRDefault="00563A32" w:rsidP="00563A32"/>
        </w:tc>
        <w:tc>
          <w:tcPr>
            <w:tcW w:w="4489" w:type="dxa"/>
          </w:tcPr>
          <w:p w:rsidR="00563A32" w:rsidRDefault="00563A32"/>
          <w:p w:rsidR="00563A32" w:rsidRPr="00350C76" w:rsidRDefault="00563A32" w:rsidP="00563A32">
            <w:pPr>
              <w:shd w:val="clear" w:color="auto" w:fill="FFFFFF"/>
              <w:spacing w:before="204" w:after="204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444444"/>
                <w:sz w:val="28"/>
                <w:szCs w:val="28"/>
                <w:lang w:eastAsia="es-MX"/>
              </w:rPr>
            </w:pPr>
            <w:r w:rsidRPr="00350C76">
              <w:rPr>
                <w:rFonts w:ascii="Arial" w:eastAsia="Times New Roman" w:hAnsi="Arial" w:cs="Arial"/>
                <w:b/>
                <w:bCs/>
                <w:color w:val="444444"/>
                <w:sz w:val="28"/>
                <w:szCs w:val="28"/>
                <w:lang w:eastAsia="es-MX"/>
              </w:rPr>
              <w:t>Normas Mexicanas (NMX)</w:t>
            </w:r>
          </w:p>
          <w:p w:rsidR="00563A32" w:rsidRDefault="00563A32" w:rsidP="00563A32"/>
          <w:p w:rsidR="00563A32" w:rsidRPr="00563A32" w:rsidRDefault="00563A32" w:rsidP="00563A32"/>
        </w:tc>
      </w:tr>
      <w:tr w:rsidR="00563A32" w:rsidRPr="00350C76" w:rsidTr="00563A32">
        <w:trPr>
          <w:trHeight w:val="7502"/>
        </w:trPr>
        <w:tc>
          <w:tcPr>
            <w:tcW w:w="4489" w:type="dxa"/>
          </w:tcPr>
          <w:p w:rsidR="00563A32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>Regulación técnica expedida por las dependencias competentes, conforme a las finalidades con la que se creen, que establece reglas, especificaciones, atributos, directrices, características o prescripciones aplicables a un producto, proceso, instalación, sistema, actividad, servicio o método de producción u operación, así como aquellas relativas a terminología, simbología, embalaje, marcado o etiquetado y las que se refieran a su cumplimiento o aplicación. Un ejemplo de las finalidades para la que se expiden es, determinar las características que deben reunir los productos y procesos cuando éstos puedan constituir un riesgo para la seguridad de las personas o dañar la salud humana, animal, vegetal, el medio ambiente general y laboral, o para la preservación de recursos naturales</w:t>
            </w: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>Se prevé un mecanismo específico para su creación, en la LFMN en su artículo 46</w:t>
            </w: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 xml:space="preserve">Cuando no subsistan las causas que motivaron su expedición, las dependencias competentes, a iniciativa propia o a solicitud de la Comisión Nacional de Normalización (CNN), de la SE o de los miembros del Comité Consultivo Nacional de Normalización Correspondiente (CCNNC), podrán modificar o cancelar la NOM de que se trate sin seguir el procedimiento para su elaboración. Esto no es aplicable </w:t>
            </w:r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lastRenderedPageBreak/>
              <w:t xml:space="preserve">cuando se pretendan crear nuevos requisitos o procedimientos, o incorporar especificaciones más estrictas, en cuyo caso deberá seguirse el procedimiento para la elaboración de las </w:t>
            </w:r>
            <w:proofErr w:type="spellStart"/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>NOM’s</w:t>
            </w:r>
            <w:proofErr w:type="spellEnd"/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 xml:space="preserve">. Éstas deben ser revisadas cada cinco años a partir de la fecha de su entrada en vigor, debiendo notificarse al Secretariado Técnico de la CNN los resultados de la revisión, dentro de los 60 días naturales posteriores a la terminación del periodo quinquenal relativo. De no hacerse tal notificación, las </w:t>
            </w:r>
            <w:proofErr w:type="spellStart"/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>NOM’s</w:t>
            </w:r>
            <w:proofErr w:type="spellEnd"/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 xml:space="preserve"> pierden su vigencia y las dependencias que las hubiesen expedido publicarán su cancelación en el Diario Oficial de la Federación (DOF)</w:t>
            </w: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  <w:r w:rsidRPr="00350C76"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  <w:t>Son de observancia obligatoria</w:t>
            </w: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  <w:p w:rsidR="00350C76" w:rsidRPr="00350C76" w:rsidRDefault="00350C76" w:rsidP="00350C76">
            <w:pPr>
              <w:shd w:val="clear" w:color="auto" w:fill="FFFFFF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s-MX"/>
              </w:rPr>
            </w:pPr>
          </w:p>
        </w:tc>
        <w:tc>
          <w:tcPr>
            <w:tcW w:w="4489" w:type="dxa"/>
          </w:tcPr>
          <w:p w:rsidR="00350C76" w:rsidRPr="00350C76" w:rsidRDefault="00350C76" w:rsidP="00350C76">
            <w:pPr>
              <w:shd w:val="clear" w:color="auto" w:fill="FFFFFF"/>
              <w:spacing w:after="408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350C76">
              <w:rPr>
                <w:rFonts w:ascii="Arial" w:hAnsi="Arial" w:cs="Arial"/>
                <w:sz w:val="24"/>
                <w:szCs w:val="24"/>
              </w:rPr>
              <w:lastRenderedPageBreak/>
              <w:t>Es la que elabora un organismo nacional de normalización, o la Secretaría de Economía (SE) en los términos de la LFMN, que prevé para un uso común y repetido reglas, especificaciones, atributos, métodos de prueba, directrices, características o prescripciones aplicables a un producto, proceso, instalación, sistema, actividad, servicio o método de producción u operación, así como aquéllas relativas a terminología, simbología, embalaje, marcado o etiquetado</w:t>
            </w: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71DB4" w:rsidRPr="00350C76" w:rsidRDefault="00371DB4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  <w:r w:rsidRPr="00350C76">
              <w:rPr>
                <w:rFonts w:ascii="Arial" w:hAnsi="Arial" w:cs="Arial"/>
                <w:sz w:val="24"/>
                <w:szCs w:val="24"/>
              </w:rPr>
              <w:t>Se prevé un mecanismo específico para su creación, en la LFMN, de acuerdo con el artículo 51-A</w:t>
            </w: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563A32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  <w:r w:rsidRPr="00350C76">
              <w:rPr>
                <w:rFonts w:ascii="Arial" w:hAnsi="Arial" w:cs="Arial"/>
                <w:sz w:val="24"/>
                <w:szCs w:val="24"/>
              </w:rPr>
              <w:t>Su revisión y actualización cumplirá con el mismo procedimiento que para su elaboración, pero en todo caso deberán ser revisadas o actualizadas dentro de los cinco años siguientes a la publicación de la declaratoria de vigencia, debiendo notificarse al Secretariado Técnico de la CNN los resultados de la revisión o actualización. De no hacerse la notificación, el Secretariado citado ordenará su cancelación</w:t>
            </w: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71DB4" w:rsidRDefault="00371DB4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71DB4" w:rsidRPr="00350C76" w:rsidRDefault="00371DB4" w:rsidP="00350C76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  <w:r w:rsidRPr="00350C76">
              <w:rPr>
                <w:rFonts w:ascii="Arial" w:hAnsi="Arial" w:cs="Arial"/>
                <w:sz w:val="24"/>
                <w:szCs w:val="24"/>
              </w:rPr>
              <w:t>Son de aplicación voluntaria, salvo en los casos en que los particulares manifiestan que sus productos, procesos o servicios son conformes con las mismas y sin perjuicio de que las dependencias requieran en una NOM su observancia para fines determinados. Su campo de aplicación puede ser nacional, regional o local (artículo 51-A)</w:t>
            </w:r>
          </w:p>
          <w:p w:rsidR="00350C76" w:rsidRPr="00350C76" w:rsidRDefault="00350C76" w:rsidP="00350C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54E7D" w:rsidRDefault="00D54E7D"/>
    <w:sectPr w:rsidR="00D54E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837E8"/>
    <w:multiLevelType w:val="multilevel"/>
    <w:tmpl w:val="FEF22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B834644"/>
    <w:multiLevelType w:val="multilevel"/>
    <w:tmpl w:val="E2B27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E5D0227"/>
    <w:multiLevelType w:val="multilevel"/>
    <w:tmpl w:val="A3B61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A32"/>
    <w:rsid w:val="00350C76"/>
    <w:rsid w:val="00371DB4"/>
    <w:rsid w:val="00563A32"/>
    <w:rsid w:val="00A547BB"/>
    <w:rsid w:val="00BB4D2D"/>
    <w:rsid w:val="00D5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63A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563A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63A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563A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1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510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FerriLap</dc:creator>
  <cp:lastModifiedBy>FerriLap</cp:lastModifiedBy>
  <cp:revision>4</cp:revision>
  <dcterms:created xsi:type="dcterms:W3CDTF">2020-02-29T22:45:00Z</dcterms:created>
  <dcterms:modified xsi:type="dcterms:W3CDTF">2020-03-01T00:20:00Z</dcterms:modified>
</cp:coreProperties>
</file>